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1AC2BAF0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>t,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3B8A4DD3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D75DF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49BDB030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3AE3E94B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</w:t>
      </w:r>
      <w:r w:rsidR="006E372B">
        <w:rPr>
          <w:rFonts w:ascii="Arial" w:hAnsi="Arial" w:cs="Arial"/>
          <w:sz w:val="18"/>
          <w:szCs w:val="18"/>
          <w:lang w:val="hu-HU"/>
        </w:rPr>
        <w:t>.</w:t>
      </w:r>
      <w:r w:rsidRPr="001B77CF">
        <w:rPr>
          <w:rFonts w:ascii="Arial" w:hAnsi="Arial" w:cs="Arial"/>
          <w:sz w:val="18"/>
          <w:szCs w:val="18"/>
          <w:lang w:val="hu-HU"/>
        </w:rPr>
        <w:t xml:space="preserve">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költségek)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22B8E2FD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316613ED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proofErr w:type="gramStart"/>
      <w:r w:rsidRPr="00CC1CA8">
        <w:rPr>
          <w:rFonts w:ascii="Arial" w:hAnsi="Arial" w:cs="Arial"/>
          <w:sz w:val="16"/>
          <w:szCs w:val="16"/>
          <w:lang w:val="hu-HU"/>
        </w:rPr>
        <w:t>Kelt :</w:t>
      </w:r>
      <w:proofErr w:type="gramEnd"/>
      <w:r w:rsidRPr="00CC1CA8">
        <w:rPr>
          <w:rFonts w:ascii="Arial" w:hAnsi="Arial" w:cs="Arial"/>
          <w:sz w:val="16"/>
          <w:szCs w:val="16"/>
          <w:lang w:val="hu-HU"/>
        </w:rPr>
        <w:t xml:space="preserve">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FD2E9B">
        <w:rPr>
          <w:rFonts w:ascii="Arial" w:hAnsi="Arial" w:cs="Arial"/>
          <w:sz w:val="18"/>
          <w:szCs w:val="18"/>
        </w:rPr>
        <w:t>hf</w:t>
      </w:r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5C819A9D" w:rsidR="000D411D" w:rsidRDefault="000D411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73155C33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Pr="00C77FB7" w:rsidRDefault="00B15FBE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44166D74" w14:textId="77777777" w:rsidR="00C77FB7" w:rsidRPr="00D75DF9" w:rsidRDefault="00C77FB7" w:rsidP="00D75DF9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" w:name="pr2"/>
      <w:bookmarkStart w:id="2" w:name="_Toc165876113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1"/>
      <w:r w:rsidRPr="00D75DF9">
        <w:rPr>
          <w:rFonts w:ascii="Arial" w:hAnsi="Arial"/>
          <w:b/>
          <w:sz w:val="18"/>
          <w:lang w:val="x-none"/>
        </w:rPr>
        <w:t>H I R D E T M É N Y</w:t>
      </w:r>
      <w:bookmarkEnd w:id="2"/>
    </w:p>
    <w:p w14:paraId="2B71DBCD" w14:textId="2C603C23" w:rsidR="00C77FB7" w:rsidRPr="000D411D" w:rsidRDefault="00C77FB7" w:rsidP="00D75DF9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 xml:space="preserve">Érvényes: 2024. </w:t>
      </w:r>
      <w:r w:rsidR="00A83345">
        <w:rPr>
          <w:rFonts w:ascii="Arial" w:hAnsi="Arial" w:cs="Arial"/>
          <w:sz w:val="18"/>
          <w:szCs w:val="18"/>
          <w:lang w:val="hu-HU"/>
        </w:rPr>
        <w:t>szeptember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1-től</w:t>
      </w:r>
      <w:r w:rsidRPr="000A5F0B">
        <w:rPr>
          <w:rFonts w:cs="Arial"/>
          <w:szCs w:val="18"/>
          <w:vertAlign w:val="superscript"/>
        </w:rPr>
        <w:footnoteReference w:id="5"/>
      </w:r>
    </w:p>
    <w:p w14:paraId="4A0A071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7DBEB8FF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I.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18CBFEF5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6500BB44" w14:textId="77777777" w:rsidR="00C77FB7" w:rsidRPr="000D411D" w:rsidRDefault="00C77FB7" w:rsidP="000D411D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681D1DBB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D75DF9">
        <w:rPr>
          <w:rFonts w:ascii="Arial" w:hAnsi="Arial"/>
          <w:b/>
          <w:sz w:val="18"/>
          <w:lang w:val="x-none"/>
        </w:rPr>
        <w:t>1.</w:t>
      </w:r>
      <w:r w:rsidRPr="00D75DF9">
        <w:rPr>
          <w:rFonts w:ascii="Arial" w:hAnsi="Arial"/>
          <w:b/>
          <w:sz w:val="18"/>
          <w:lang w:val="x-none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D75DF9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D75DF9">
        <w:rPr>
          <w:rFonts w:ascii="Arial" w:hAnsi="Arial"/>
          <w:b/>
          <w:sz w:val="18"/>
          <w:u w:val="single"/>
          <w:lang w:val="x-none"/>
        </w:rPr>
        <w:t>mértéke</w:t>
      </w:r>
    </w:p>
    <w:p w14:paraId="400A7CB4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D5EE33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6C3F0540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8B94D7A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7DE2A7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C77FB7" w:rsidRPr="00C77FB7" w14:paraId="03647965" w14:textId="77777777" w:rsidTr="00D75DF9">
        <w:trPr>
          <w:trHeight w:val="1016"/>
          <w:tblHeader/>
        </w:trPr>
        <w:tc>
          <w:tcPr>
            <w:tcW w:w="2122" w:type="dxa"/>
          </w:tcPr>
          <w:p w14:paraId="710F2B2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DF886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7256B4D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A5F0B">
              <w:rPr>
                <w:rFonts w:cs="Arial"/>
                <w:szCs w:val="16"/>
                <w:vertAlign w:val="superscript"/>
                <w:lang w:eastAsia="hu-HU"/>
              </w:rPr>
              <w:footnoteReference w:id="6"/>
            </w:r>
            <w:r w:rsidRPr="000A5F0B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 w:eastAsia="hu-HU"/>
              </w:rPr>
              <w:t xml:space="preserve"> </w:t>
            </w:r>
          </w:p>
        </w:tc>
      </w:tr>
      <w:tr w:rsidR="00C77FB7" w:rsidRPr="00C77FB7" w14:paraId="6C3FFA71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4091D0B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3500B8B9" w14:textId="2433503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0,91%</w:t>
            </w:r>
          </w:p>
        </w:tc>
        <w:tc>
          <w:tcPr>
            <w:tcW w:w="3544" w:type="dxa"/>
            <w:vAlign w:val="center"/>
          </w:tcPr>
          <w:p w14:paraId="77BB6C8B" w14:textId="5F98DCA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0,16%</w:t>
            </w:r>
          </w:p>
        </w:tc>
      </w:tr>
      <w:tr w:rsidR="00C77FB7" w:rsidRPr="00C77FB7" w14:paraId="43820369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77BB4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2557B6B5" w14:textId="065656A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0,94%</w:t>
            </w:r>
          </w:p>
        </w:tc>
        <w:tc>
          <w:tcPr>
            <w:tcW w:w="3544" w:type="dxa"/>
            <w:vAlign w:val="center"/>
          </w:tcPr>
          <w:p w14:paraId="31090E9A" w14:textId="3947FA6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0,19%</w:t>
            </w:r>
          </w:p>
        </w:tc>
      </w:tr>
      <w:tr w:rsidR="00C77FB7" w:rsidRPr="00C77FB7" w14:paraId="217B100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C9A85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C4BD93C" w14:textId="195ED754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  <w:tc>
          <w:tcPr>
            <w:tcW w:w="3544" w:type="dxa"/>
            <w:vAlign w:val="center"/>
          </w:tcPr>
          <w:p w14:paraId="34D9C583" w14:textId="6677800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0,17%</w:t>
            </w:r>
          </w:p>
        </w:tc>
      </w:tr>
      <w:tr w:rsidR="00C77FB7" w:rsidRPr="00C77FB7" w14:paraId="4AB2183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0922A36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10E45FFF" w14:textId="1177E74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2443737C" w14:textId="3FEFB0D5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2D57CA5A" w14:textId="77777777" w:rsidR="00C77FB7" w:rsidRPr="00D75DF9" w:rsidRDefault="00C77FB7" w:rsidP="00D75DF9">
      <w:pPr>
        <w:spacing w:before="0" w:after="60"/>
        <w:ind w:left="0"/>
        <w:rPr>
          <w:rFonts w:ascii="Arial" w:hAnsi="Arial"/>
          <w:sz w:val="18"/>
          <w:u w:val="single"/>
          <w:lang w:val="hu-HU"/>
        </w:rPr>
      </w:pPr>
    </w:p>
    <w:p w14:paraId="1BFAA66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D75DF9">
        <w:rPr>
          <w:rFonts w:ascii="Arial" w:hAnsi="Arial"/>
          <w:b/>
          <w:sz w:val="18"/>
          <w:u w:val="single"/>
          <w:lang w:val="hu-HU"/>
        </w:rPr>
        <w:t>Vidékfejlesztési célú ügylet esetén</w:t>
      </w:r>
      <w:r w:rsidRPr="000A5F0B">
        <w:rPr>
          <w:vertAlign w:val="superscript"/>
        </w:rPr>
        <w:footnoteReference w:id="7"/>
      </w:r>
    </w:p>
    <w:p w14:paraId="79CE90BC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4937BE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17B6925F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C77FB7" w:rsidRPr="00C77FB7" w14:paraId="11A2726B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521A087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4BC2F79F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C77FB7" w:rsidRPr="00C77FB7" w14:paraId="128FDFC4" w14:textId="77777777" w:rsidTr="00D75DF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200C3CA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10808F78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2F0CA12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C77FB7" w:rsidRPr="00C77FB7" w14:paraId="088414CC" w14:textId="77777777" w:rsidTr="00D75DF9">
        <w:trPr>
          <w:trHeight w:val="866"/>
        </w:trPr>
        <w:tc>
          <w:tcPr>
            <w:tcW w:w="3517" w:type="dxa"/>
            <w:vMerge/>
            <w:vAlign w:val="center"/>
          </w:tcPr>
          <w:p w14:paraId="34882052" w14:textId="77777777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545" w:type="dxa"/>
          </w:tcPr>
          <w:p w14:paraId="654CB384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4A8FC4F7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C77FB7" w:rsidRPr="00C77FB7" w14:paraId="0FA31C2D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4E1E7A2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lastRenderedPageBreak/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0240EBCF" w14:textId="695FBDC2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</w:tr>
      <w:tr w:rsidR="00C77FB7" w:rsidRPr="00C77FB7" w14:paraId="77C81E70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7F7C91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68F0C525" w14:textId="18FFA846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5344B482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4F42D05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A83345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066FF309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FCB480F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A83345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A83345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A83345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04982C3D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A83345" w:rsidRPr="00A83345" w:rsidDel="00E8532A" w14:paraId="1A99FB8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5CE5C9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767F36B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0962491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A83345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A83345" w:rsidRPr="00A83345" w14:paraId="62B75D9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0522DA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0BAF06F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4AADF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A44DE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F0AF7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4340E0F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F8F4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275F4D5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E2698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79A6490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B4C901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5ED9F991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B03C53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4AB0B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9B5C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1E3C8E7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320AE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68DC398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B4816D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7A187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DC1A0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08E04F4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DEF2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A83345" w:rsidRPr="00A83345" w14:paraId="0F1E33CC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398D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78AEED8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9DBE87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347186D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24E40F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A83345" w:rsidRPr="00A83345" w14:paraId="08BFAFA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4B5CF3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DDB1AA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999DF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1F115E1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524F7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3CC13882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FD5585A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AA2F76F" w14:textId="53DBE9CE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A83345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48FB190B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3FC8BEB" w14:textId="027C6730" w:rsidR="006B569F" w:rsidRDefault="00C77FB7" w:rsidP="00D75DF9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D75DF9">
        <w:rPr>
          <w:rFonts w:ascii="Arial" w:hAnsi="Arial"/>
          <w:sz w:val="18"/>
          <w:lang w:val="x-none"/>
        </w:rPr>
        <w:t>A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D75DF9">
        <w:rPr>
          <w:rFonts w:ascii="Arial" w:hAnsi="Arial"/>
          <w:sz w:val="18"/>
          <w:lang w:val="x-none"/>
        </w:rPr>
        <w:t xml:space="preserve">legalább 3 éves futamidejű 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D75DF9">
        <w:rPr>
          <w:rFonts w:ascii="Arial" w:hAnsi="Arial"/>
          <w:sz w:val="18"/>
          <w:lang w:val="x-none"/>
        </w:rPr>
        <w:t xml:space="preserve">beruházási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hitelekhez és lízingszerződésekhez</w:t>
      </w:r>
      <w:bookmarkStart w:id="16" w:name="_Hlk109900354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bookmarkEnd w:id="16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D75DF9">
        <w:rPr>
          <w:rFonts w:ascii="Arial" w:hAnsi="Arial"/>
          <w:sz w:val="18"/>
          <w:lang w:val="x-none"/>
        </w:rPr>
        <w:t>kezességi díj</w:t>
      </w:r>
      <w:r w:rsidRPr="000D411D">
        <w:rPr>
          <w:rFonts w:ascii="Arial" w:hAnsi="Arial" w:cs="Arial"/>
          <w:iCs/>
          <w:sz w:val="18"/>
          <w:szCs w:val="18"/>
          <w:lang w:val="hu-HU"/>
        </w:rPr>
        <w:t>a</w:t>
      </w:r>
      <w:r w:rsidRPr="00D75DF9">
        <w:rPr>
          <w:rFonts w:ascii="Arial" w:hAnsi="Arial"/>
          <w:sz w:val="18"/>
          <w:lang w:val="x-none"/>
        </w:rPr>
        <w:t xml:space="preserve"> elengedésre kerül</w:t>
      </w:r>
      <w:r w:rsidRPr="000D411D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D75DF9">
        <w:rPr>
          <w:rFonts w:ascii="Arial" w:hAnsi="Arial"/>
          <w:sz w:val="18"/>
          <w:lang w:val="x-none"/>
        </w:rPr>
        <w:t>.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798F4738" w14:textId="77777777" w:rsidR="006B569F" w:rsidRDefault="006B569F">
      <w:pPr>
        <w:spacing w:before="0" w:after="0"/>
        <w:ind w:left="0"/>
        <w:jc w:val="left"/>
        <w:rPr>
          <w:rFonts w:ascii="Arial" w:hAnsi="Arial" w:cs="Arial"/>
          <w:iCs/>
          <w:sz w:val="18"/>
          <w:szCs w:val="18"/>
          <w:lang w:val="hu-HU"/>
        </w:rPr>
      </w:pPr>
      <w:r>
        <w:rPr>
          <w:rFonts w:ascii="Arial" w:hAnsi="Arial" w:cs="Arial"/>
          <w:iCs/>
          <w:sz w:val="18"/>
          <w:szCs w:val="18"/>
          <w:lang w:val="hu-HU"/>
        </w:rPr>
        <w:br w:type="page"/>
      </w:r>
    </w:p>
    <w:p w14:paraId="6A9096CD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7F62DE8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3.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A4C0BA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267CE7F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369CD41" w14:textId="77777777" w:rsidR="00C77FB7" w:rsidRPr="000D411D" w:rsidRDefault="00C77FB7" w:rsidP="000D411D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4CF41EC3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4C4D0B1C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40B518E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42B01D1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79580497" w14:textId="2000B17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4"/>
                <w:lang w:val="x-none" w:eastAsia="x-none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,91%</w:t>
            </w:r>
          </w:p>
        </w:tc>
      </w:tr>
      <w:tr w:rsidR="00C77FB7" w:rsidRPr="00C77FB7" w14:paraId="26482B2B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E884BA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DCC00D1" w14:textId="4EBECC5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1FF0B4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39ACD0E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5D74EA4" w14:textId="18BC1F38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lang w:val="x-none"/>
              </w:rPr>
              <w:t>0,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9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C77FB7" w:rsidRPr="00C77FB7" w14:paraId="209C8D4D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0552A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0E565236" w14:textId="0406698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30E598D7" w14:textId="77777777" w:rsidR="00C77FB7" w:rsidRPr="000D411D" w:rsidRDefault="00C77FB7" w:rsidP="00C77FB7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97E4FF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7DCF30E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2CB5DA22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10946E08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94DE779" w14:textId="050A629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1,04%</w:t>
            </w:r>
          </w:p>
        </w:tc>
      </w:tr>
      <w:tr w:rsidR="00C77FB7" w:rsidRPr="00C77FB7" w14:paraId="6ECD2B5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77E27A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C37787" w14:textId="7A75F85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1,97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0C6B37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003A1E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66644D4" w14:textId="1AC4797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,92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54E4D8AE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0848BBE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695DF74B" w14:textId="7E73D67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6632A47B" w14:textId="1A23F079" w:rsidR="00C77FB7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F08295C" w14:textId="77777777" w:rsidR="006B569F" w:rsidRDefault="006B569F">
      <w:pPr>
        <w:spacing w:before="0" w:after="0"/>
        <w:ind w:left="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  <w:r>
        <w:rPr>
          <w:rFonts w:ascii="Arial" w:hAnsi="Arial" w:cs="Arial"/>
          <w:b/>
          <w:bCs/>
          <w:sz w:val="18"/>
          <w:szCs w:val="18"/>
          <w:lang w:val="hu-HU"/>
        </w:rPr>
        <w:br w:type="page"/>
      </w:r>
    </w:p>
    <w:p w14:paraId="0F9C74A9" w14:textId="08AC24B0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lastRenderedPageBreak/>
        <w:t xml:space="preserve">A </w:t>
      </w:r>
      <w:proofErr w:type="spellStart"/>
      <w:r w:rsidRPr="00A83345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A83345" w:rsidRPr="00A83345" w:rsidDel="00E8532A" w14:paraId="44CE868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342A3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6C439FD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79581FF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A83345" w:rsidRPr="00A83345" w14:paraId="739BD3E5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20B5C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48EF5A2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2163377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653457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A83345" w:rsidRPr="00A83345" w14:paraId="3F985C2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C1CDBE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3A2DBD9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07CED69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0B5A6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A83345" w:rsidRPr="00A83345" w14:paraId="0EEFF72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53139D6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328B625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2847CA1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1FC5B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A83345" w:rsidRPr="00A83345" w14:paraId="11018BDA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6E8B96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491D8D6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0DC6218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00F69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A83345" w:rsidRPr="00A83345" w14:paraId="685E2F1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35EE1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69EF1B3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14F39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0B059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A83345" w:rsidRPr="00A83345" w14:paraId="2E1956B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4182F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C48F5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45F182F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3AA6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3ABE25F1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FDCF95F" w14:textId="1BF12FEB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4.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</w:t>
      </w:r>
      <w:bookmarkStart w:id="17" w:name="_Hlk109900025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és </w:t>
      </w:r>
      <w:r w:rsidRPr="00D75DF9">
        <w:rPr>
          <w:rFonts w:ascii="Arial" w:hAnsi="Arial"/>
          <w:b/>
          <w:spacing w:val="-3"/>
          <w:sz w:val="18"/>
          <w:u w:val="single"/>
          <w:lang w:val="hu-HU"/>
        </w:rPr>
        <w:t xml:space="preserve">Széchenyi Mikrohitel Konstrukció </w:t>
      </w:r>
      <w:bookmarkEnd w:id="17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1B578090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06EBDFFE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1FCD849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C022728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D75DF9">
        <w:rPr>
          <w:rFonts w:ascii="Arial" w:hAnsi="Arial"/>
          <w:b/>
          <w:sz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C77FB7" w:rsidRPr="00C77FB7" w14:paraId="5AB18DBD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2409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6CDF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6B42F2BB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669F" w14:textId="6FCD090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0,</w:t>
            </w: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D75DF9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CF3C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0%</w:t>
            </w:r>
          </w:p>
        </w:tc>
      </w:tr>
    </w:tbl>
    <w:p w14:paraId="0266EA2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14ACF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bookmarkStart w:id="18" w:name="_Hlk109900079"/>
      <w:r w:rsidRPr="00D75DF9">
        <w:rPr>
          <w:rFonts w:ascii="Arial" w:hAnsi="Arial"/>
          <w:b/>
          <w:sz w:val="18"/>
          <w:lang w:val="hu-HU"/>
        </w:rPr>
        <w:t>Piaci kezességi díj évenkénti mértéke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C77FB7" w:rsidRPr="00C77FB7" w14:paraId="6EE8E4B1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7FA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1B4F5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EB40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1B9016C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5076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A9F0" w14:textId="27E03ECA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0,91%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4BC2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C77FB7" w:rsidRPr="00C77FB7" w14:paraId="34EED6B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F789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066E" w14:textId="60D59EE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1,04%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84A0" w14:textId="7E3ED83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49B066ED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0F696545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595ED35E" w14:textId="77777777" w:rsidR="00C77FB7" w:rsidRPr="000D411D" w:rsidRDefault="00C77FB7" w:rsidP="000D411D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5DFAC0B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10D7F53F" w14:textId="77777777" w:rsidR="00C77FB7" w:rsidRPr="000D411D" w:rsidRDefault="00C77FB7" w:rsidP="00D75DF9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7E81DCB" w14:textId="77777777" w:rsidR="00C77FB7" w:rsidRPr="000D411D" w:rsidRDefault="00C77FB7" w:rsidP="00D75DF9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ECBDF8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4E05564D" w14:textId="77777777" w:rsidR="00C77FB7" w:rsidRPr="000D411D" w:rsidRDefault="00C77FB7" w:rsidP="00D75DF9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7571F9EF" w14:textId="77777777" w:rsidR="00C77FB7" w:rsidRPr="000D411D" w:rsidRDefault="00C77FB7" w:rsidP="00D75DF9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308E425B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5C9472B3" w14:textId="4BFA9CD0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díj számítása 360 nap/év és 30 napos hónapok </w:t>
      </w:r>
      <w:r w:rsidRPr="000D411D">
        <w:rPr>
          <w:rFonts w:ascii="Arial" w:hAnsi="Arial" w:cs="Arial"/>
          <w:sz w:val="18"/>
          <w:szCs w:val="18"/>
          <w:lang w:val="hu-HU"/>
        </w:rPr>
        <w:t>figyelembevételével</w:t>
      </w:r>
      <w:r w:rsidRPr="00D75DF9">
        <w:rPr>
          <w:rFonts w:ascii="Arial" w:hAnsi="Arial"/>
          <w:sz w:val="18"/>
          <w:lang w:val="hu-HU"/>
        </w:rPr>
        <w:t xml:space="preserve"> történik.</w:t>
      </w:r>
    </w:p>
    <w:p w14:paraId="46012E78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6608B95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30D7B2BD" w14:textId="77777777" w:rsidR="00C77FB7" w:rsidRPr="00CD7EC4" w:rsidRDefault="00C77FB7" w:rsidP="00D75DF9">
      <w:pPr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DF0CDCE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bookmarkStart w:id="19" w:name="_Hlk38864136"/>
      <w:r w:rsidRPr="00D75DF9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7A144D2C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77E17C0E" w14:textId="77777777" w:rsidR="00C77FB7" w:rsidRPr="00CD7EC4" w:rsidRDefault="00C77FB7" w:rsidP="00D75DF9">
      <w:pPr>
        <w:numPr>
          <w:ilvl w:val="2"/>
          <w:numId w:val="29"/>
        </w:numPr>
        <w:spacing w:before="0" w:after="240"/>
        <w:ind w:left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206114A8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47623657" w14:textId="77777777" w:rsidR="00C77FB7" w:rsidRPr="00CD7EC4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1DCB821F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34BA2ED" w14:textId="77777777" w:rsidR="00C77FB7" w:rsidRPr="000D411D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27B61266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sz w:val="18"/>
        </w:rPr>
      </w:pPr>
      <w:bookmarkStart w:id="20" w:name="_Hlk15408924"/>
      <w:r w:rsidRPr="00D75DF9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D75DF9">
        <w:rPr>
          <w:rFonts w:ascii="Arial" w:hAnsi="Arial"/>
          <w:b/>
          <w:sz w:val="18"/>
          <w:lang w:val="hu-HU"/>
        </w:rPr>
        <w:t>, jogutódlás esetén</w:t>
      </w:r>
    </w:p>
    <w:p w14:paraId="0EECA4A8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27756D17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EE6DDB3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9D40DC4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lastRenderedPageBreak/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7210E11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A25714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5978699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7B78B9A5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6176FAA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C7BDC4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26BE34F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6A027870" w14:textId="685EACC1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7BD34DE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58D1C642" w14:textId="77777777" w:rsidR="00A83345" w:rsidRPr="006B569F" w:rsidRDefault="00A83345" w:rsidP="00A83345">
      <w:pPr>
        <w:pStyle w:val="Listaszerbekezds"/>
        <w:numPr>
          <w:ilvl w:val="1"/>
          <w:numId w:val="16"/>
        </w:numPr>
        <w:spacing w:after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6B569F">
        <w:rPr>
          <w:rFonts w:ascii="Arial" w:hAnsi="Arial" w:cs="Arial"/>
          <w:sz w:val="18"/>
          <w:szCs w:val="18"/>
        </w:rPr>
        <w:t xml:space="preserve">Mentesülési – vagy a kapcsolódó kedvezményes – díjon nyújtott kezesség esetén az ügylet abban az esetben sem kerül átsorolásra a 2,5 millió eurós összeghatár alatti díjkategóriákba, amennyiben egy </w:t>
      </w:r>
      <w:r w:rsidRPr="006B569F">
        <w:rPr>
          <w:rFonts w:ascii="Arial" w:hAnsi="Arial" w:cs="Arial"/>
          <w:iCs/>
          <w:sz w:val="18"/>
          <w:szCs w:val="18"/>
        </w:rPr>
        <w:t>vállalkozás szerződéseihez vállalt alapítványi kezesség összege adott időpontban már nem haladja meg a 2,5 millió eurót.</w:t>
      </w:r>
    </w:p>
    <w:p w14:paraId="3E43CAFA" w14:textId="77777777" w:rsidR="00A83345" w:rsidRPr="00CD7EC4" w:rsidRDefault="00A83345" w:rsidP="00D75DF9">
      <w:pPr>
        <w:spacing w:before="0" w:after="0"/>
        <w:ind w:left="708"/>
        <w:rPr>
          <w:rFonts w:ascii="Arial" w:hAnsi="Arial"/>
          <w:sz w:val="18"/>
        </w:rPr>
      </w:pPr>
    </w:p>
    <w:p w14:paraId="5FD94DA0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eastAsia="Calibri" w:hAnsi="Arial"/>
          <w:sz w:val="18"/>
        </w:rPr>
      </w:pPr>
      <w:r w:rsidRPr="00D75DF9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2E83DCB3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4.1</w:t>
      </w:r>
      <w:r w:rsidRPr="00D75DF9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13B6963F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4.2</w:t>
      </w:r>
      <w:r w:rsidRPr="00D75DF9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5EAEB2D8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</w:rPr>
      </w:pPr>
    </w:p>
    <w:p w14:paraId="6F0FFF01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53B6B0D7" w14:textId="77777777" w:rsidR="00C77FB7" w:rsidRPr="000D411D" w:rsidRDefault="00C77FB7" w:rsidP="00D75DF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2AAFC1A" w14:textId="77777777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4963CAD" w14:textId="77777777" w:rsidR="00C77FB7" w:rsidRPr="000D411D" w:rsidRDefault="00C77FB7" w:rsidP="000D411D">
      <w:pPr>
        <w:numPr>
          <w:ilvl w:val="0"/>
          <w:numId w:val="15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2A27A68" w14:textId="1316561C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lastRenderedPageBreak/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E3EE584" w14:textId="77EA68D8" w:rsidR="00C77FB7" w:rsidRPr="000D411D" w:rsidRDefault="00C77FB7" w:rsidP="000D41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5C667F" w:rsidRPr="00306CAA">
        <w:rPr>
          <w:rFonts w:ascii="Arial" w:hAnsi="Arial"/>
          <w:sz w:val="18"/>
          <w:lang w:val="hu-HU"/>
        </w:rPr>
        <w:t>visszajár.</w:t>
      </w:r>
    </w:p>
    <w:p w14:paraId="1DF7A47D" w14:textId="77777777" w:rsidR="00C77FB7" w:rsidRPr="000D411D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406E1757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1134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5A824CD4" w14:textId="6F04A349" w:rsidR="001010B2" w:rsidRDefault="00C77FB7" w:rsidP="000D411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53CA5441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140F2964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24B3AAC3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7DF9AA94" w14:textId="2C6E01D5" w:rsidR="00C77FB7" w:rsidRPr="006B569F" w:rsidRDefault="00C77FB7" w:rsidP="006B569F">
      <w:pPr>
        <w:pStyle w:val="Listaszerbekezds"/>
        <w:numPr>
          <w:ilvl w:val="5"/>
          <w:numId w:val="20"/>
        </w:numPr>
        <w:shd w:val="clear" w:color="auto" w:fill="FFFFFF"/>
        <w:spacing w:after="60"/>
        <w:rPr>
          <w:rFonts w:ascii="Arial" w:hAnsi="Arial" w:cs="Arial"/>
          <w:b/>
          <w:bCs/>
          <w:caps/>
          <w:sz w:val="18"/>
          <w:szCs w:val="18"/>
        </w:rPr>
      </w:pPr>
      <w:r w:rsidRPr="006B569F">
        <w:rPr>
          <w:rFonts w:ascii="Arial" w:hAnsi="Arial" w:cs="Arial"/>
          <w:b/>
          <w:bCs/>
          <w:caps/>
          <w:sz w:val="18"/>
          <w:szCs w:val="18"/>
        </w:rPr>
        <w:t>Egyéb díjak</w:t>
      </w:r>
    </w:p>
    <w:p w14:paraId="0A3EF5F2" w14:textId="77777777" w:rsidR="006B569F" w:rsidRPr="006B569F" w:rsidRDefault="006B569F" w:rsidP="006B569F">
      <w:pPr>
        <w:pStyle w:val="Listaszerbekezds"/>
        <w:shd w:val="clear" w:color="auto" w:fill="FFFFFF"/>
        <w:spacing w:after="60"/>
        <w:ind w:left="4292"/>
        <w:rPr>
          <w:rFonts w:ascii="Arial" w:hAnsi="Arial" w:cs="Arial"/>
          <w:b/>
          <w:bCs/>
          <w:caps/>
          <w:sz w:val="18"/>
          <w:szCs w:val="18"/>
        </w:rPr>
      </w:pPr>
    </w:p>
    <w:p w14:paraId="3EA62C12" w14:textId="77777777" w:rsidR="00C77FB7" w:rsidRPr="000D411D" w:rsidRDefault="00C77FB7" w:rsidP="00D75DF9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07F57341" w14:textId="77777777" w:rsidR="00C77FB7" w:rsidRPr="000D411D" w:rsidRDefault="00C77FB7" w:rsidP="00D75DF9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E532761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a)</w:t>
      </w:r>
      <w:r w:rsidRPr="000D411D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071A98DF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b)</w:t>
      </w:r>
      <w:r w:rsidRPr="000D411D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22675464" w14:textId="77777777" w:rsidR="00C77FB7" w:rsidRPr="000D411D" w:rsidRDefault="00C77FB7" w:rsidP="00D75DF9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c)</w:t>
      </w:r>
      <w:r w:rsidRPr="000D411D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711D4EB3" w14:textId="77777777" w:rsidR="00C77FB7" w:rsidRPr="000D411D" w:rsidRDefault="00C77FB7" w:rsidP="00D75DF9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d)</w:t>
      </w:r>
      <w:r w:rsidRPr="000D411D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0C612915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1.2</w:t>
      </w:r>
      <w:r w:rsidRPr="000D411D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0671CE71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1.3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C77FB7" w:rsidRPr="00C77FB7" w14:paraId="2484C62F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874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7EB3D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16285655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C77FB7" w:rsidRPr="00C77FB7" w14:paraId="46C85BDB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3C19C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72A8E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C77FB7" w:rsidRPr="00C77FB7" w14:paraId="077FB041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8CB56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D4F80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C77FB7" w:rsidRPr="00C77FB7" w14:paraId="5A9E7E4A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95D6B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1A75D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C77FB7" w:rsidRPr="00C77FB7" w14:paraId="2FB6ECE2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FBF1E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9A65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17AA6BED" w14:textId="77777777" w:rsidR="00C77FB7" w:rsidRPr="000D411D" w:rsidRDefault="00C77FB7" w:rsidP="00D75DF9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FFB240F" w14:textId="77777777" w:rsidR="00C77FB7" w:rsidRPr="00CD7EC4" w:rsidRDefault="00C77FB7" w:rsidP="00D75DF9">
      <w:pPr>
        <w:numPr>
          <w:ilvl w:val="0"/>
          <w:numId w:val="45"/>
        </w:numPr>
        <w:shd w:val="clear" w:color="auto" w:fill="FFFFFF"/>
        <w:spacing w:before="0" w:after="240"/>
        <w:ind w:left="426" w:hanging="426"/>
        <w:rPr>
          <w:rFonts w:ascii="Arial" w:hAnsi="Arial"/>
          <w:b/>
          <w:sz w:val="18"/>
        </w:rPr>
      </w:pPr>
      <w:r w:rsidRPr="00D75DF9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60A33FCB" w14:textId="77777777" w:rsidR="00C77FB7" w:rsidRPr="000D411D" w:rsidRDefault="00C77FB7" w:rsidP="00D75DF9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2.1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71D341C2" w14:textId="5AF23C86" w:rsidR="00C77FB7" w:rsidRPr="00CD7EC4" w:rsidRDefault="00C77FB7" w:rsidP="00D75DF9">
      <w:pPr>
        <w:numPr>
          <w:ilvl w:val="1"/>
          <w:numId w:val="46"/>
        </w:numPr>
        <w:shd w:val="clear" w:color="auto" w:fill="FFFFFF"/>
        <w:spacing w:before="0" w:after="240"/>
        <w:ind w:left="426" w:hanging="42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beváltási határidő hosszabbítási díj mértéke évente 0,1%, vetítési alapja a kezességgel biztosított </w:t>
      </w:r>
      <w:r w:rsidRPr="000D411D">
        <w:rPr>
          <w:rFonts w:ascii="Arial" w:hAnsi="Arial" w:cs="Arial"/>
          <w:sz w:val="18"/>
          <w:szCs w:val="18"/>
          <w:lang w:val="hu-HU"/>
        </w:rPr>
        <w:t>összeg</w:t>
      </w:r>
      <w:r w:rsidRPr="00D75DF9">
        <w:rPr>
          <w:rFonts w:ascii="Arial" w:hAnsi="Arial"/>
          <w:sz w:val="18"/>
          <w:lang w:val="hu-HU"/>
        </w:rPr>
        <w:t>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0EB2DFAD" w14:textId="0DFDC5A1" w:rsidR="009F0EA4" w:rsidRPr="006B569F" w:rsidRDefault="00C77FB7" w:rsidP="006B569F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2.3</w:t>
      </w:r>
      <w:r w:rsidRPr="00D75DF9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9F0EA4" w:rsidRPr="006B569F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C467" w14:textId="77777777" w:rsidR="000D411D" w:rsidRDefault="000D411D">
      <w:pPr>
        <w:spacing w:before="0" w:after="0"/>
      </w:pPr>
      <w:r>
        <w:separator/>
      </w:r>
    </w:p>
  </w:endnote>
  <w:endnote w:type="continuationSeparator" w:id="0">
    <w:p w14:paraId="4FC9E3C0" w14:textId="77777777" w:rsidR="000D411D" w:rsidRDefault="000D411D">
      <w:pPr>
        <w:spacing w:before="0" w:after="0"/>
      </w:pPr>
      <w:r>
        <w:continuationSeparator/>
      </w:r>
    </w:p>
  </w:endnote>
  <w:endnote w:type="continuationNotice" w:id="1">
    <w:p w14:paraId="370A641D" w14:textId="77777777" w:rsidR="000D411D" w:rsidRDefault="000D41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E9D4" w14:textId="77777777" w:rsidR="002B3ECF" w:rsidRDefault="002B3ECF" w:rsidP="000333E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00AC" w14:textId="77777777" w:rsidR="000D411D" w:rsidRDefault="000D411D">
      <w:pPr>
        <w:spacing w:before="0" w:after="0"/>
      </w:pPr>
      <w:r>
        <w:separator/>
      </w:r>
    </w:p>
  </w:footnote>
  <w:footnote w:type="continuationSeparator" w:id="0">
    <w:p w14:paraId="68DB2299" w14:textId="77777777" w:rsidR="000D411D" w:rsidRDefault="000D411D">
      <w:pPr>
        <w:spacing w:before="0" w:after="0"/>
      </w:pPr>
      <w:r>
        <w:continuationSeparator/>
      </w:r>
    </w:p>
  </w:footnote>
  <w:footnote w:type="continuationNotice" w:id="1">
    <w:p w14:paraId="44715401" w14:textId="77777777" w:rsidR="000D411D" w:rsidRDefault="000D411D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BEB2410" w14:textId="77777777" w:rsidR="00C77FB7" w:rsidRPr="00E01407" w:rsidRDefault="00C77FB7" w:rsidP="00C77FB7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6D33A66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D75DF9">
        <w:rPr>
          <w:rFonts w:ascii="Arial" w:hAnsi="Arial"/>
          <w:sz w:val="18"/>
          <w:lang w:val="hu-HU"/>
        </w:rPr>
        <w:t>A Díjrendeletek alapján</w:t>
      </w:r>
      <w:r w:rsidRPr="00E01407">
        <w:rPr>
          <w:rFonts w:ascii="Arial" w:hAnsi="Arial" w:cs="Arial"/>
          <w:sz w:val="18"/>
          <w:szCs w:val="18"/>
          <w:lang w:val="hu-HU"/>
        </w:rPr>
        <w:t>.</w:t>
      </w:r>
    </w:p>
  </w:footnote>
  <w:footnote w:id="7">
    <w:p w14:paraId="00744AED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5BA1B395" w14:textId="77777777" w:rsidR="00A83345" w:rsidRPr="00F47A3B" w:rsidRDefault="00A83345" w:rsidP="00A83345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65734B98" w14:textId="77777777" w:rsidR="00A83345" w:rsidRPr="00AD7D9E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327F8B6" w14:textId="77777777" w:rsidR="00A83345" w:rsidRPr="00945AA7" w:rsidRDefault="00A83345" w:rsidP="00A83345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7F7D2692" w14:textId="77777777" w:rsidR="00A83345" w:rsidRPr="00A83345" w:rsidRDefault="00A83345" w:rsidP="00A83345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36A576B4" w14:textId="37349CEE" w:rsidR="00A83345" w:rsidRPr="006B569F" w:rsidRDefault="00A83345">
      <w:pPr>
        <w:pStyle w:val="Lbjegyzetszveg"/>
        <w:rPr>
          <w:lang w:val="hu-HU"/>
        </w:rPr>
      </w:pPr>
      <w:r w:rsidRPr="006B569F">
        <w:rPr>
          <w:rStyle w:val="Lbjegyzet-hivatkozs"/>
          <w:rFonts w:ascii="Arial" w:hAnsi="Arial" w:cs="Arial"/>
          <w:sz w:val="18"/>
          <w:szCs w:val="18"/>
        </w:rPr>
        <w:footnoteRef/>
      </w:r>
      <w:r w:rsidRPr="006B569F">
        <w:rPr>
          <w:rFonts w:ascii="Arial" w:hAnsi="Arial" w:cs="Arial"/>
          <w:sz w:val="18"/>
          <w:szCs w:val="18"/>
        </w:rPr>
        <w:t xml:space="preserve"> </w:t>
      </w:r>
      <w:r w:rsidRPr="006B569F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1D1FE3AD" w14:textId="77777777" w:rsidR="00A83345" w:rsidRPr="005A3948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6939F87C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2024. </w:t>
        </w:r>
        <w:r w:rsidR="001010B2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s</w:t>
        </w:r>
        <w:r w:rsidR="00A8334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zeptember</w:t>
        </w:r>
        <w:r w:rsidR="001010B2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CB3129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ő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74293A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6FFEAB86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2024. </w:t>
    </w:r>
    <w:r w:rsidR="00E92E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szeptember</w:t>
    </w:r>
    <w:r w:rsidR="00CD7EC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1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2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4ABB31AE"/>
    <w:multiLevelType w:val="hybridMultilevel"/>
    <w:tmpl w:val="78F8396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3DA22BE"/>
    <w:multiLevelType w:val="hybridMultilevel"/>
    <w:tmpl w:val="C1CA1CDC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9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2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2887993">
    <w:abstractNumId w:val="38"/>
  </w:num>
  <w:num w:numId="2" w16cid:durableId="962542471">
    <w:abstractNumId w:val="50"/>
  </w:num>
  <w:num w:numId="3" w16cid:durableId="668561013">
    <w:abstractNumId w:val="29"/>
  </w:num>
  <w:num w:numId="4" w16cid:durableId="1492790475">
    <w:abstractNumId w:val="22"/>
  </w:num>
  <w:num w:numId="5" w16cid:durableId="2009286244">
    <w:abstractNumId w:val="1"/>
  </w:num>
  <w:num w:numId="6" w16cid:durableId="2000618145">
    <w:abstractNumId w:val="34"/>
  </w:num>
  <w:num w:numId="7" w16cid:durableId="1366907224">
    <w:abstractNumId w:val="32"/>
  </w:num>
  <w:num w:numId="8" w16cid:durableId="1563982903">
    <w:abstractNumId w:val="39"/>
  </w:num>
  <w:num w:numId="9" w16cid:durableId="464470825">
    <w:abstractNumId w:val="46"/>
  </w:num>
  <w:num w:numId="10" w16cid:durableId="484318265">
    <w:abstractNumId w:val="31"/>
  </w:num>
  <w:num w:numId="11" w16cid:durableId="2145464576">
    <w:abstractNumId w:val="25"/>
  </w:num>
  <w:num w:numId="12" w16cid:durableId="1101418054">
    <w:abstractNumId w:val="20"/>
  </w:num>
  <w:num w:numId="13" w16cid:durableId="783233994">
    <w:abstractNumId w:val="5"/>
  </w:num>
  <w:num w:numId="14" w16cid:durableId="536547801">
    <w:abstractNumId w:val="17"/>
  </w:num>
  <w:num w:numId="15" w16cid:durableId="1696342682">
    <w:abstractNumId w:val="8"/>
  </w:num>
  <w:num w:numId="16" w16cid:durableId="1774204852">
    <w:abstractNumId w:val="42"/>
  </w:num>
  <w:num w:numId="17" w16cid:durableId="1785077981">
    <w:abstractNumId w:val="21"/>
  </w:num>
  <w:num w:numId="18" w16cid:durableId="160852381">
    <w:abstractNumId w:val="13"/>
  </w:num>
  <w:num w:numId="19" w16cid:durableId="1336226596">
    <w:abstractNumId w:val="3"/>
  </w:num>
  <w:num w:numId="20" w16cid:durableId="557016878">
    <w:abstractNumId w:val="2"/>
  </w:num>
  <w:num w:numId="21" w16cid:durableId="1796556462">
    <w:abstractNumId w:val="43"/>
  </w:num>
  <w:num w:numId="22" w16cid:durableId="931350841">
    <w:abstractNumId w:val="18"/>
  </w:num>
  <w:num w:numId="23" w16cid:durableId="1960646079">
    <w:abstractNumId w:val="11"/>
  </w:num>
  <w:num w:numId="24" w16cid:durableId="345794766">
    <w:abstractNumId w:val="0"/>
  </w:num>
  <w:num w:numId="25" w16cid:durableId="654995922">
    <w:abstractNumId w:val="49"/>
  </w:num>
  <w:num w:numId="26" w16cid:durableId="1347633864">
    <w:abstractNumId w:val="6"/>
  </w:num>
  <w:num w:numId="27" w16cid:durableId="1760982899">
    <w:abstractNumId w:val="26"/>
  </w:num>
  <w:num w:numId="28" w16cid:durableId="875969269">
    <w:abstractNumId w:val="47"/>
  </w:num>
  <w:num w:numId="29" w16cid:durableId="503785970">
    <w:abstractNumId w:val="9"/>
  </w:num>
  <w:num w:numId="30" w16cid:durableId="1196694912">
    <w:abstractNumId w:val="35"/>
  </w:num>
  <w:num w:numId="31" w16cid:durableId="799882373">
    <w:abstractNumId w:val="7"/>
  </w:num>
  <w:num w:numId="32" w16cid:durableId="1379010889">
    <w:abstractNumId w:val="44"/>
  </w:num>
  <w:num w:numId="33" w16cid:durableId="1747534025">
    <w:abstractNumId w:val="45"/>
  </w:num>
  <w:num w:numId="34" w16cid:durableId="1138571384">
    <w:abstractNumId w:val="23"/>
  </w:num>
  <w:num w:numId="35" w16cid:durableId="403992883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834408">
    <w:abstractNumId w:val="51"/>
  </w:num>
  <w:num w:numId="37" w16cid:durableId="454100677">
    <w:abstractNumId w:val="10"/>
  </w:num>
  <w:num w:numId="38" w16cid:durableId="1451585763">
    <w:abstractNumId w:val="14"/>
  </w:num>
  <w:num w:numId="39" w16cid:durableId="866141492">
    <w:abstractNumId w:val="36"/>
  </w:num>
  <w:num w:numId="40" w16cid:durableId="1156452124">
    <w:abstractNumId w:val="52"/>
  </w:num>
  <w:num w:numId="41" w16cid:durableId="1599481659">
    <w:abstractNumId w:val="27"/>
  </w:num>
  <w:num w:numId="42" w16cid:durableId="163204467">
    <w:abstractNumId w:val="37"/>
  </w:num>
  <w:num w:numId="43" w16cid:durableId="345644472">
    <w:abstractNumId w:val="48"/>
  </w:num>
  <w:num w:numId="44" w16cid:durableId="1536574590">
    <w:abstractNumId w:val="12"/>
  </w:num>
  <w:num w:numId="45" w16cid:durableId="197931039">
    <w:abstractNumId w:val="15"/>
  </w:num>
  <w:num w:numId="46" w16cid:durableId="1471558966">
    <w:abstractNumId w:val="33"/>
  </w:num>
  <w:num w:numId="47" w16cid:durableId="1999652307">
    <w:abstractNumId w:val="4"/>
  </w:num>
  <w:num w:numId="48" w16cid:durableId="2128887135">
    <w:abstractNumId w:val="16"/>
  </w:num>
  <w:num w:numId="49" w16cid:durableId="1987465805">
    <w:abstractNumId w:val="40"/>
  </w:num>
  <w:num w:numId="50" w16cid:durableId="893001594">
    <w:abstractNumId w:val="24"/>
  </w:num>
  <w:num w:numId="51" w16cid:durableId="928661633">
    <w:abstractNumId w:val="30"/>
  </w:num>
  <w:num w:numId="52" w16cid:durableId="2052680842">
    <w:abstractNumId w:val="19"/>
  </w:num>
  <w:num w:numId="53" w16cid:durableId="79201551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SU59DHjYWe/4VloY5wf6CsyYcgUIwMCeTaBL3w9SUwMXP+/CyaYbqe2UlqR/povlmpSBX8a1cbX0tT5Qsi23g==" w:salt="g9U1InOPoFqR0P7psV0Oo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966FD"/>
    <w:rsid w:val="000A0E0F"/>
    <w:rsid w:val="000A1F77"/>
    <w:rsid w:val="000A41A6"/>
    <w:rsid w:val="000A5F0B"/>
    <w:rsid w:val="000B0AA8"/>
    <w:rsid w:val="000B5F02"/>
    <w:rsid w:val="000B62C7"/>
    <w:rsid w:val="000B69AD"/>
    <w:rsid w:val="000B7201"/>
    <w:rsid w:val="000C08F9"/>
    <w:rsid w:val="000C46DB"/>
    <w:rsid w:val="000D128D"/>
    <w:rsid w:val="000D1D17"/>
    <w:rsid w:val="000D2BCE"/>
    <w:rsid w:val="000D3339"/>
    <w:rsid w:val="000D4059"/>
    <w:rsid w:val="000D411D"/>
    <w:rsid w:val="000D6779"/>
    <w:rsid w:val="000D7FD2"/>
    <w:rsid w:val="000E086E"/>
    <w:rsid w:val="000E1DC6"/>
    <w:rsid w:val="000E365B"/>
    <w:rsid w:val="000E4952"/>
    <w:rsid w:val="000F7A9D"/>
    <w:rsid w:val="000F7C01"/>
    <w:rsid w:val="001010B2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5DA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0BF7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1F7B77"/>
    <w:rsid w:val="002026BB"/>
    <w:rsid w:val="00204AEB"/>
    <w:rsid w:val="00206F1E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029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6311"/>
    <w:rsid w:val="00300FE9"/>
    <w:rsid w:val="00305D71"/>
    <w:rsid w:val="00306CAA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50E5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2849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BEF"/>
    <w:rsid w:val="00622690"/>
    <w:rsid w:val="00624351"/>
    <w:rsid w:val="006259E4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B569F"/>
    <w:rsid w:val="006C1837"/>
    <w:rsid w:val="006C31D0"/>
    <w:rsid w:val="006D3C41"/>
    <w:rsid w:val="006D5B62"/>
    <w:rsid w:val="006D5FD6"/>
    <w:rsid w:val="006E2A86"/>
    <w:rsid w:val="006E372B"/>
    <w:rsid w:val="006E4E1D"/>
    <w:rsid w:val="006E5121"/>
    <w:rsid w:val="006F5E95"/>
    <w:rsid w:val="006F6F99"/>
    <w:rsid w:val="00700CE9"/>
    <w:rsid w:val="007029C2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293A"/>
    <w:rsid w:val="00746CCB"/>
    <w:rsid w:val="0075005D"/>
    <w:rsid w:val="00753AB3"/>
    <w:rsid w:val="007627AD"/>
    <w:rsid w:val="007634AF"/>
    <w:rsid w:val="00763C07"/>
    <w:rsid w:val="007668A3"/>
    <w:rsid w:val="00774694"/>
    <w:rsid w:val="00775FF1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3A32"/>
    <w:rsid w:val="0083617A"/>
    <w:rsid w:val="00842EDB"/>
    <w:rsid w:val="00846BE9"/>
    <w:rsid w:val="0085229C"/>
    <w:rsid w:val="0085478F"/>
    <w:rsid w:val="00856056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B0D65"/>
    <w:rsid w:val="008B1F3E"/>
    <w:rsid w:val="008B267B"/>
    <w:rsid w:val="008B618E"/>
    <w:rsid w:val="008B76BF"/>
    <w:rsid w:val="008C0D63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1E2A"/>
    <w:rsid w:val="009350F9"/>
    <w:rsid w:val="009359BA"/>
    <w:rsid w:val="009428BA"/>
    <w:rsid w:val="009438C5"/>
    <w:rsid w:val="0094560E"/>
    <w:rsid w:val="00952651"/>
    <w:rsid w:val="00952880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49A3"/>
    <w:rsid w:val="009B0DF7"/>
    <w:rsid w:val="009B14B5"/>
    <w:rsid w:val="009B595F"/>
    <w:rsid w:val="009C1A01"/>
    <w:rsid w:val="009C6A00"/>
    <w:rsid w:val="009C7202"/>
    <w:rsid w:val="009D521E"/>
    <w:rsid w:val="009D6727"/>
    <w:rsid w:val="009E411F"/>
    <w:rsid w:val="009E50F8"/>
    <w:rsid w:val="009E6177"/>
    <w:rsid w:val="009E6B60"/>
    <w:rsid w:val="009F0B71"/>
    <w:rsid w:val="009F0EA4"/>
    <w:rsid w:val="009F1A60"/>
    <w:rsid w:val="009F244F"/>
    <w:rsid w:val="009F46AB"/>
    <w:rsid w:val="009F6864"/>
    <w:rsid w:val="00A218B7"/>
    <w:rsid w:val="00A22F7A"/>
    <w:rsid w:val="00A23409"/>
    <w:rsid w:val="00A239B8"/>
    <w:rsid w:val="00A27C46"/>
    <w:rsid w:val="00A31C0F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37C"/>
    <w:rsid w:val="00A8020A"/>
    <w:rsid w:val="00A83345"/>
    <w:rsid w:val="00A8747B"/>
    <w:rsid w:val="00A875E6"/>
    <w:rsid w:val="00A90D60"/>
    <w:rsid w:val="00A93362"/>
    <w:rsid w:val="00A946AB"/>
    <w:rsid w:val="00A946D2"/>
    <w:rsid w:val="00A95151"/>
    <w:rsid w:val="00A96699"/>
    <w:rsid w:val="00AA0E4A"/>
    <w:rsid w:val="00AA6082"/>
    <w:rsid w:val="00AB0823"/>
    <w:rsid w:val="00AB0EBB"/>
    <w:rsid w:val="00AB4A46"/>
    <w:rsid w:val="00AB5ACB"/>
    <w:rsid w:val="00AC0E7A"/>
    <w:rsid w:val="00AC2DB8"/>
    <w:rsid w:val="00AE3ABC"/>
    <w:rsid w:val="00AE3FF9"/>
    <w:rsid w:val="00AE4CB5"/>
    <w:rsid w:val="00AE5F2E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77FB7"/>
    <w:rsid w:val="00C81CF3"/>
    <w:rsid w:val="00C82585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D6045"/>
    <w:rsid w:val="00CD7EC4"/>
    <w:rsid w:val="00CE0037"/>
    <w:rsid w:val="00CE3405"/>
    <w:rsid w:val="00CE4EFC"/>
    <w:rsid w:val="00CE553F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5DF9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92EB8"/>
    <w:rsid w:val="00E97B8F"/>
    <w:rsid w:val="00EA0923"/>
    <w:rsid w:val="00EA1FF6"/>
    <w:rsid w:val="00EA4322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30383"/>
    <w:rsid w:val="00F31CB8"/>
    <w:rsid w:val="00F32990"/>
    <w:rsid w:val="00F36A08"/>
    <w:rsid w:val="00F42CA8"/>
    <w:rsid w:val="00F455DA"/>
    <w:rsid w:val="00F46361"/>
    <w:rsid w:val="00F47326"/>
    <w:rsid w:val="00F5112B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F7C8-8D1D-4125-ABDA-B123FCD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7</TotalTime>
  <Pages>12</Pages>
  <Words>5486</Words>
  <Characters>37855</Characters>
  <Application>Microsoft Office Word</Application>
  <DocSecurity>0</DocSecurity>
  <Lines>315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Szűcs-Májer Barbara dr.</cp:lastModifiedBy>
  <cp:revision>4</cp:revision>
  <cp:lastPrinted>2021-05-25T13:42:00Z</cp:lastPrinted>
  <dcterms:created xsi:type="dcterms:W3CDTF">2024-08-16T06:33:00Z</dcterms:created>
  <dcterms:modified xsi:type="dcterms:W3CDTF">2024-08-16T06:40:00Z</dcterms:modified>
</cp:coreProperties>
</file>